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EA6E">
      <w:pPr>
        <w:pStyle w:val="2"/>
        <w:spacing w:line="360" w:lineRule="auto"/>
        <w:jc w:val="center"/>
        <w:rPr>
          <w:rFonts w:hint="eastAsia" w:ascii="Times New Roman" w:eastAsia="宋体"/>
          <w:b/>
          <w:bCs/>
          <w:sz w:val="52"/>
          <w:szCs w:val="52"/>
          <w:lang w:eastAsia="zh-CN"/>
        </w:rPr>
      </w:pPr>
      <w:r>
        <w:rPr>
          <w:rFonts w:hint="eastAsia" w:ascii="Times New Roman"/>
          <w:b/>
          <w:bCs/>
          <w:sz w:val="52"/>
          <w:szCs w:val="52"/>
          <w:lang w:eastAsia="zh-CN"/>
        </w:rPr>
        <w:t>合力（六安）高端铸件及深加工研发制造基地项目110KV变电所二期10KV开关柜及配套装置</w:t>
      </w:r>
    </w:p>
    <w:p w14:paraId="7086E188">
      <w:pPr>
        <w:jc w:val="center"/>
        <w:rPr>
          <w:rFonts w:ascii="Times New Roman"/>
          <w:b/>
          <w:bCs/>
          <w:spacing w:val="40"/>
          <w:w w:val="90"/>
          <w:position w:val="1"/>
          <w:sz w:val="72"/>
          <w:szCs w:val="72"/>
        </w:rPr>
      </w:pPr>
      <w:r>
        <w:rPr>
          <w:rFonts w:ascii="Times New Roman"/>
          <w:b/>
          <w:bCs/>
          <w:spacing w:val="40"/>
          <w:w w:val="90"/>
          <w:position w:val="1"/>
          <w:sz w:val="72"/>
          <w:szCs w:val="72"/>
        </w:rPr>
        <w:t>招标公告</w:t>
      </w:r>
    </w:p>
    <w:p w14:paraId="20F5F142">
      <w:pPr>
        <w:jc w:val="center"/>
        <w:rPr>
          <w:rFonts w:ascii="Times New Roman"/>
          <w:b/>
          <w:bCs/>
          <w:spacing w:val="40"/>
          <w:w w:val="90"/>
          <w:position w:val="1"/>
          <w:sz w:val="72"/>
          <w:szCs w:val="72"/>
        </w:rPr>
      </w:pPr>
    </w:p>
    <w:p w14:paraId="7F06215E">
      <w:pPr>
        <w:spacing w:line="360" w:lineRule="auto"/>
        <w:ind w:firstLine="480" w:firstLineChars="200"/>
        <w:rPr>
          <w:rFonts w:ascii="Times New Roman"/>
          <w:szCs w:val="24"/>
        </w:rPr>
      </w:pPr>
      <w:r>
        <w:rPr>
          <w:rFonts w:ascii="Times New Roman"/>
          <w:szCs w:val="24"/>
        </w:rPr>
        <w:t>安徽安天利信工程管理股份有限公司受买方委托，对下列产品及服务进行国内公开竞争性招标。欢迎具备条件的投标人参加投标。</w:t>
      </w:r>
    </w:p>
    <w:p w14:paraId="4949A028">
      <w:pPr>
        <w:spacing w:line="360" w:lineRule="auto"/>
        <w:jc w:val="left"/>
        <w:rPr>
          <w:rFonts w:ascii="Times New Roman"/>
          <w:b/>
          <w:bCs/>
          <w:szCs w:val="24"/>
        </w:rPr>
      </w:pPr>
      <w:r>
        <w:rPr>
          <w:rFonts w:ascii="Times New Roman"/>
          <w:b/>
          <w:bCs/>
          <w:szCs w:val="24"/>
        </w:rPr>
        <w:t>一、招标条件</w:t>
      </w:r>
      <w:bookmarkStart w:id="1" w:name="_GoBack"/>
      <w:bookmarkEnd w:id="1"/>
    </w:p>
    <w:p w14:paraId="3E166DC8">
      <w:pPr>
        <w:spacing w:line="360" w:lineRule="auto"/>
        <w:jc w:val="left"/>
        <w:rPr>
          <w:rFonts w:hint="eastAsia" w:ascii="Times New Roman" w:eastAsia="宋体"/>
          <w:szCs w:val="24"/>
          <w:lang w:eastAsia="zh-CN"/>
        </w:rPr>
      </w:pPr>
      <w:r>
        <w:rPr>
          <w:rFonts w:ascii="Times New Roman"/>
          <w:szCs w:val="24"/>
        </w:rPr>
        <w:t>1、项目名称：</w:t>
      </w:r>
      <w:r>
        <w:rPr>
          <w:rFonts w:hint="eastAsia" w:ascii="Times New Roman"/>
          <w:szCs w:val="24"/>
          <w:lang w:eastAsia="zh-CN"/>
        </w:rPr>
        <w:t>合力（六安）高端铸件及深加工研发制造基地项目110KV变电所二期10KV开关柜及配套装置</w:t>
      </w:r>
    </w:p>
    <w:p w14:paraId="2413CD0E">
      <w:pPr>
        <w:spacing w:line="360" w:lineRule="auto"/>
        <w:jc w:val="left"/>
        <w:rPr>
          <w:rFonts w:hint="eastAsia" w:ascii="Times New Roman" w:eastAsia="宋体"/>
          <w:szCs w:val="24"/>
          <w:lang w:eastAsia="zh-CN"/>
        </w:rPr>
      </w:pPr>
      <w:r>
        <w:rPr>
          <w:rFonts w:ascii="Times New Roman"/>
          <w:szCs w:val="24"/>
        </w:rPr>
        <w:t>2、项目编号：</w:t>
      </w:r>
      <w:r>
        <w:rPr>
          <w:rFonts w:hint="eastAsia" w:ascii="Times New Roman"/>
          <w:szCs w:val="24"/>
          <w:lang w:eastAsia="zh-CN"/>
        </w:rPr>
        <w:t>25AT47046707392</w:t>
      </w:r>
    </w:p>
    <w:p w14:paraId="1AB589F5">
      <w:pPr>
        <w:spacing w:line="360" w:lineRule="auto"/>
        <w:jc w:val="left"/>
        <w:rPr>
          <w:rFonts w:hint="eastAsia" w:ascii="Times New Roman"/>
          <w:szCs w:val="24"/>
        </w:rPr>
      </w:pPr>
      <w:r>
        <w:rPr>
          <w:rFonts w:ascii="Times New Roman"/>
          <w:szCs w:val="24"/>
        </w:rPr>
        <w:t>3、招标人：</w:t>
      </w:r>
      <w:r>
        <w:rPr>
          <w:rFonts w:hint="eastAsia" w:ascii="Times New Roman"/>
          <w:szCs w:val="24"/>
        </w:rPr>
        <w:t>安徽合力（六安）铸造有限公司</w:t>
      </w:r>
    </w:p>
    <w:p w14:paraId="2B8FD33A">
      <w:pPr>
        <w:spacing w:line="360" w:lineRule="auto"/>
        <w:jc w:val="left"/>
        <w:rPr>
          <w:rFonts w:ascii="Times New Roman"/>
          <w:szCs w:val="24"/>
        </w:rPr>
      </w:pPr>
      <w:r>
        <w:rPr>
          <w:rFonts w:ascii="Times New Roman"/>
          <w:szCs w:val="24"/>
        </w:rPr>
        <w:t>4、资金来源：已落实</w:t>
      </w:r>
    </w:p>
    <w:p w14:paraId="0A5EA4CA">
      <w:pPr>
        <w:spacing w:line="360" w:lineRule="auto"/>
        <w:rPr>
          <w:rFonts w:ascii="Times New Roman"/>
          <w:b/>
          <w:bCs/>
          <w:szCs w:val="24"/>
        </w:rPr>
      </w:pPr>
      <w:r>
        <w:rPr>
          <w:rFonts w:ascii="Times New Roman"/>
          <w:b/>
          <w:bCs/>
          <w:szCs w:val="24"/>
        </w:rPr>
        <w:t>二、项目概况与规模</w:t>
      </w:r>
    </w:p>
    <w:p w14:paraId="7CBD4BEB">
      <w:pPr>
        <w:snapToGrid w:val="0"/>
        <w:spacing w:line="360" w:lineRule="auto"/>
        <w:jc w:val="left"/>
        <w:rPr>
          <w:rFonts w:ascii="宋体" w:hAnsi="宋体"/>
          <w:position w:val="2"/>
          <w:sz w:val="24"/>
        </w:rPr>
      </w:pPr>
      <w:r>
        <w:rPr>
          <w:rFonts w:ascii="Times New Roman"/>
          <w:szCs w:val="24"/>
        </w:rPr>
        <w:t>1、</w:t>
      </w:r>
      <w:r>
        <w:rPr>
          <w:b/>
          <w:bCs/>
        </w:rPr>
        <w:t>招标范围：</w:t>
      </w:r>
      <w:r>
        <w:rPr>
          <w:rFonts w:hint="eastAsia" w:ascii="宋体" w:hAnsi="宋体"/>
          <w:position w:val="2"/>
          <w:sz w:val="24"/>
        </w:rPr>
        <w:t>本项目是建设</w:t>
      </w:r>
      <w:r>
        <w:rPr>
          <w:rFonts w:ascii="宋体" w:hAnsi="宋体"/>
          <w:position w:val="2"/>
          <w:sz w:val="24"/>
        </w:rPr>
        <w:t>一</w:t>
      </w:r>
      <w:r>
        <w:rPr>
          <w:rFonts w:hint="eastAsia" w:ascii="宋体" w:hAnsi="宋体"/>
          <w:position w:val="2"/>
          <w:sz w:val="24"/>
        </w:rPr>
        <w:t>座</w:t>
      </w:r>
      <w:r>
        <w:rPr>
          <w:rFonts w:ascii="宋体" w:hAnsi="宋体"/>
          <w:position w:val="2"/>
          <w:sz w:val="24"/>
        </w:rPr>
        <w:t>为</w:t>
      </w:r>
      <w:r>
        <w:rPr>
          <w:rFonts w:hint="eastAsia" w:ascii="宋体" w:hAnsi="宋体"/>
          <w:position w:val="2"/>
          <w:sz w:val="24"/>
        </w:rPr>
        <w:t>合力</w:t>
      </w:r>
      <w:r>
        <w:rPr>
          <w:rFonts w:ascii="宋体" w:hAnsi="宋体"/>
          <w:position w:val="2"/>
          <w:sz w:val="24"/>
        </w:rPr>
        <w:t>（</w:t>
      </w:r>
      <w:r>
        <w:rPr>
          <w:rFonts w:hint="eastAsia" w:ascii="宋体" w:hAnsi="宋体"/>
          <w:position w:val="2"/>
          <w:sz w:val="24"/>
        </w:rPr>
        <w:t>六安</w:t>
      </w:r>
      <w:r>
        <w:rPr>
          <w:rFonts w:ascii="宋体" w:hAnsi="宋体"/>
          <w:position w:val="2"/>
          <w:sz w:val="24"/>
        </w:rPr>
        <w:t>）</w:t>
      </w:r>
      <w:r>
        <w:rPr>
          <w:rFonts w:hint="eastAsia" w:ascii="宋体" w:hAnsi="宋体"/>
          <w:position w:val="2"/>
          <w:sz w:val="24"/>
        </w:rPr>
        <w:t>高端</w:t>
      </w:r>
      <w:r>
        <w:rPr>
          <w:rFonts w:ascii="宋体" w:hAnsi="宋体"/>
          <w:position w:val="2"/>
          <w:sz w:val="24"/>
        </w:rPr>
        <w:t>铸件及深加工</w:t>
      </w:r>
      <w:r>
        <w:rPr>
          <w:rFonts w:hint="eastAsia" w:ascii="宋体" w:hAnsi="宋体"/>
          <w:position w:val="2"/>
          <w:sz w:val="24"/>
        </w:rPr>
        <w:t>研发制造基地项目提供</w:t>
      </w:r>
      <w:r>
        <w:rPr>
          <w:rFonts w:ascii="宋体" w:hAnsi="宋体"/>
          <w:position w:val="2"/>
          <w:sz w:val="24"/>
        </w:rPr>
        <w:t>电能的</w:t>
      </w:r>
      <w:r>
        <w:rPr>
          <w:rFonts w:hint="eastAsia" w:ascii="宋体" w:hAnsi="宋体"/>
          <w:position w:val="2"/>
          <w:sz w:val="24"/>
        </w:rPr>
        <w:t>110KV变电所。</w:t>
      </w:r>
      <w:r>
        <w:rPr>
          <w:rFonts w:ascii="宋体" w:hAnsi="宋体"/>
          <w:position w:val="2"/>
          <w:sz w:val="24"/>
        </w:rPr>
        <w:t>变电所</w:t>
      </w:r>
      <w:r>
        <w:rPr>
          <w:rFonts w:hint="eastAsia" w:ascii="宋体" w:hAnsi="宋体"/>
          <w:position w:val="2"/>
          <w:sz w:val="24"/>
        </w:rPr>
        <w:t>位于研发制造基地厂区</w:t>
      </w:r>
      <w:r>
        <w:rPr>
          <w:rFonts w:ascii="宋体" w:hAnsi="宋体"/>
          <w:position w:val="2"/>
          <w:sz w:val="24"/>
        </w:rPr>
        <w:t>内</w:t>
      </w:r>
      <w:r>
        <w:rPr>
          <w:rFonts w:hint="eastAsia" w:ascii="宋体" w:hAnsi="宋体"/>
          <w:position w:val="2"/>
          <w:sz w:val="24"/>
        </w:rPr>
        <w:t>西北</w:t>
      </w:r>
      <w:r>
        <w:rPr>
          <w:rFonts w:ascii="宋体" w:hAnsi="宋体"/>
          <w:position w:val="2"/>
          <w:sz w:val="24"/>
        </w:rPr>
        <w:t>侧，</w:t>
      </w:r>
      <w:r>
        <w:rPr>
          <w:rFonts w:hint="eastAsia" w:ascii="宋体" w:hAnsi="宋体"/>
          <w:position w:val="2"/>
          <w:sz w:val="24"/>
        </w:rPr>
        <w:t xml:space="preserve"> 规划</w:t>
      </w:r>
      <w:r>
        <w:rPr>
          <w:rFonts w:ascii="宋体" w:hAnsi="宋体"/>
          <w:position w:val="2"/>
          <w:sz w:val="24"/>
        </w:rPr>
        <w:t>占地面积</w:t>
      </w:r>
      <w:r>
        <w:rPr>
          <w:rFonts w:hint="eastAsia" w:ascii="宋体" w:hAnsi="宋体"/>
          <w:position w:val="2"/>
          <w:sz w:val="24"/>
        </w:rPr>
        <w:t>4922平方米。该变电所分</w:t>
      </w:r>
      <w:r>
        <w:rPr>
          <w:rFonts w:ascii="宋体" w:hAnsi="宋体"/>
          <w:position w:val="2"/>
          <w:sz w:val="24"/>
        </w:rPr>
        <w:t>二期</w:t>
      </w:r>
      <w:r>
        <w:rPr>
          <w:rFonts w:hint="eastAsia" w:ascii="宋体" w:hAnsi="宋体"/>
          <w:position w:val="2"/>
          <w:sz w:val="24"/>
        </w:rPr>
        <w:t>建设，一期主变容量1*31.5MVA及一期</w:t>
      </w:r>
      <w:r>
        <w:rPr>
          <w:rFonts w:ascii="宋体" w:hAnsi="宋体"/>
          <w:position w:val="2"/>
          <w:sz w:val="24"/>
        </w:rPr>
        <w:t>配套的</w:t>
      </w:r>
      <w:r>
        <w:rPr>
          <w:rFonts w:hint="eastAsia" w:ascii="宋体" w:hAnsi="宋体"/>
          <w:position w:val="2"/>
          <w:sz w:val="24"/>
        </w:rPr>
        <w:t>10KV高压</w:t>
      </w:r>
      <w:r>
        <w:rPr>
          <w:rFonts w:ascii="宋体" w:hAnsi="宋体"/>
          <w:position w:val="2"/>
          <w:sz w:val="24"/>
        </w:rPr>
        <w:t>开关柜</w:t>
      </w:r>
      <w:r>
        <w:rPr>
          <w:rFonts w:hint="eastAsia" w:ascii="宋体" w:hAnsi="宋体"/>
          <w:position w:val="2"/>
          <w:sz w:val="24"/>
        </w:rPr>
        <w:t>等已</w:t>
      </w:r>
      <w:r>
        <w:rPr>
          <w:rFonts w:ascii="宋体" w:hAnsi="宋体"/>
          <w:position w:val="2"/>
          <w:sz w:val="24"/>
        </w:rPr>
        <w:t>于</w:t>
      </w:r>
      <w:r>
        <w:rPr>
          <w:rFonts w:hint="eastAsia" w:ascii="宋体" w:hAnsi="宋体"/>
          <w:position w:val="2"/>
          <w:sz w:val="24"/>
        </w:rPr>
        <w:t>2023年</w:t>
      </w:r>
      <w:r>
        <w:rPr>
          <w:rFonts w:ascii="宋体" w:hAnsi="宋体"/>
          <w:position w:val="2"/>
          <w:sz w:val="24"/>
        </w:rPr>
        <w:t>底</w:t>
      </w:r>
      <w:r>
        <w:rPr>
          <w:rFonts w:hint="eastAsia" w:ascii="宋体" w:hAnsi="宋体"/>
          <w:position w:val="2"/>
          <w:sz w:val="24"/>
        </w:rPr>
        <w:t>投入</w:t>
      </w:r>
      <w:r>
        <w:rPr>
          <w:rFonts w:ascii="宋体" w:hAnsi="宋体"/>
          <w:position w:val="2"/>
          <w:sz w:val="24"/>
        </w:rPr>
        <w:t>运行</w:t>
      </w:r>
      <w:r>
        <w:rPr>
          <w:rFonts w:hint="eastAsia" w:ascii="宋体" w:hAnsi="宋体"/>
          <w:position w:val="2"/>
          <w:sz w:val="24"/>
        </w:rPr>
        <w:t>）。</w:t>
      </w:r>
    </w:p>
    <w:p w14:paraId="6E388C10">
      <w:pPr>
        <w:snapToGrid w:val="0"/>
        <w:spacing w:line="360" w:lineRule="auto"/>
        <w:ind w:firstLine="480" w:firstLineChars="200"/>
        <w:jc w:val="left"/>
        <w:rPr>
          <w:rFonts w:hAnsi="宋体" w:cs="宋体"/>
          <w:bCs/>
          <w:color w:val="333333"/>
          <w:szCs w:val="24"/>
        </w:rPr>
      </w:pPr>
      <w:r>
        <w:rPr>
          <w:rFonts w:hint="eastAsia" w:ascii="宋体" w:hAnsi="宋体"/>
          <w:position w:val="2"/>
          <w:sz w:val="24"/>
        </w:rPr>
        <w:t>二期（本期）主变容量1*12.5MVA，</w:t>
      </w:r>
      <w:r>
        <w:rPr>
          <w:rFonts w:ascii="宋体" w:hAnsi="宋体"/>
          <w:position w:val="2"/>
          <w:sz w:val="24"/>
        </w:rPr>
        <w:t xml:space="preserve"> </w:t>
      </w:r>
      <w:r>
        <w:rPr>
          <w:rFonts w:hint="eastAsia" w:ascii="宋体" w:hAnsi="宋体"/>
          <w:position w:val="2"/>
          <w:sz w:val="24"/>
        </w:rPr>
        <w:t>二期</w:t>
      </w:r>
      <w:r>
        <w:rPr>
          <w:rFonts w:ascii="宋体" w:hAnsi="宋体"/>
          <w:position w:val="2"/>
          <w:sz w:val="24"/>
        </w:rPr>
        <w:t>（</w:t>
      </w:r>
      <w:r>
        <w:rPr>
          <w:rFonts w:hint="eastAsia" w:ascii="宋体" w:hAnsi="宋体"/>
          <w:position w:val="2"/>
          <w:sz w:val="24"/>
        </w:rPr>
        <w:t>本期</w:t>
      </w:r>
      <w:r>
        <w:rPr>
          <w:rFonts w:ascii="宋体" w:hAnsi="宋体"/>
          <w:position w:val="2"/>
          <w:sz w:val="24"/>
        </w:rPr>
        <w:t>）</w:t>
      </w:r>
      <w:r>
        <w:rPr>
          <w:rFonts w:hint="eastAsia" w:ascii="宋体" w:hAnsi="宋体"/>
          <w:position w:val="2"/>
          <w:sz w:val="24"/>
        </w:rPr>
        <w:t>10kV侧为单母线分段接线，二期（本期）出线（馈线）13回（不含</w:t>
      </w:r>
      <w:r>
        <w:rPr>
          <w:rFonts w:ascii="宋体" w:hAnsi="宋体"/>
          <w:position w:val="2"/>
          <w:sz w:val="24"/>
        </w:rPr>
        <w:t>总柜、</w:t>
      </w:r>
      <w:r>
        <w:rPr>
          <w:rFonts w:hint="eastAsia" w:ascii="宋体" w:hAnsi="宋体"/>
          <w:position w:val="2"/>
          <w:sz w:val="24"/>
        </w:rPr>
        <w:t>PT柜</w:t>
      </w:r>
      <w:r>
        <w:rPr>
          <w:rFonts w:ascii="宋体" w:hAnsi="宋体"/>
          <w:position w:val="2"/>
          <w:sz w:val="24"/>
        </w:rPr>
        <w:t>、电容补偿</w:t>
      </w:r>
      <w:r>
        <w:rPr>
          <w:rFonts w:hint="eastAsia" w:ascii="宋体" w:hAnsi="宋体"/>
          <w:position w:val="2"/>
          <w:sz w:val="24"/>
        </w:rPr>
        <w:t>出线</w:t>
      </w:r>
      <w:r>
        <w:rPr>
          <w:rFonts w:ascii="宋体" w:hAnsi="宋体"/>
          <w:position w:val="2"/>
          <w:sz w:val="24"/>
        </w:rPr>
        <w:t>柜</w:t>
      </w:r>
      <w:r>
        <w:rPr>
          <w:rFonts w:hint="eastAsia" w:ascii="宋体" w:hAnsi="宋体"/>
          <w:position w:val="2"/>
          <w:sz w:val="24"/>
        </w:rPr>
        <w:t>以及</w:t>
      </w:r>
      <w:r>
        <w:rPr>
          <w:rFonts w:ascii="宋体" w:hAnsi="宋体"/>
          <w:position w:val="2"/>
          <w:sz w:val="24"/>
        </w:rPr>
        <w:t>消弧线圈接地变出线柜</w:t>
      </w:r>
      <w:r>
        <w:rPr>
          <w:rFonts w:hint="eastAsia" w:ascii="宋体" w:hAnsi="宋体"/>
          <w:position w:val="2"/>
          <w:sz w:val="24"/>
        </w:rPr>
        <w:t>），二期13台</w:t>
      </w:r>
      <w:r>
        <w:rPr>
          <w:rFonts w:ascii="宋体" w:hAnsi="宋体"/>
          <w:position w:val="2"/>
          <w:sz w:val="24"/>
        </w:rPr>
        <w:t>出线</w:t>
      </w:r>
      <w:r>
        <w:rPr>
          <w:rFonts w:hint="eastAsia" w:ascii="宋体" w:hAnsi="宋体"/>
          <w:position w:val="2"/>
          <w:sz w:val="24"/>
        </w:rPr>
        <w:t>（馈线）</w:t>
      </w:r>
      <w:r>
        <w:rPr>
          <w:rFonts w:ascii="宋体" w:hAnsi="宋体"/>
          <w:position w:val="2"/>
          <w:sz w:val="24"/>
        </w:rPr>
        <w:t>柜有</w:t>
      </w:r>
      <w:r>
        <w:rPr>
          <w:rFonts w:hint="eastAsia" w:ascii="宋体" w:hAnsi="宋体"/>
          <w:position w:val="2"/>
          <w:sz w:val="24"/>
        </w:rPr>
        <w:t>9台出线（馈线）柜由二期</w:t>
      </w:r>
      <w:r>
        <w:rPr>
          <w:rFonts w:ascii="宋体" w:hAnsi="宋体"/>
          <w:position w:val="2"/>
          <w:sz w:val="24"/>
        </w:rPr>
        <w:t>主变供电</w:t>
      </w:r>
      <w:r>
        <w:rPr>
          <w:rFonts w:hint="eastAsia" w:ascii="宋体" w:hAnsi="宋体"/>
          <w:position w:val="2"/>
          <w:sz w:val="24"/>
        </w:rPr>
        <w:t>；</w:t>
      </w:r>
      <w:r>
        <w:rPr>
          <w:rFonts w:ascii="宋体" w:hAnsi="宋体"/>
          <w:position w:val="2"/>
          <w:sz w:val="24"/>
        </w:rPr>
        <w:t>另外</w:t>
      </w:r>
      <w:r>
        <w:rPr>
          <w:rFonts w:hint="eastAsia" w:ascii="宋体" w:hAnsi="宋体"/>
          <w:position w:val="2"/>
          <w:sz w:val="24"/>
        </w:rPr>
        <w:t>4台</w:t>
      </w:r>
      <w:r>
        <w:rPr>
          <w:rFonts w:ascii="宋体" w:hAnsi="宋体"/>
          <w:position w:val="2"/>
          <w:sz w:val="24"/>
        </w:rPr>
        <w:t>出线</w:t>
      </w:r>
      <w:r>
        <w:rPr>
          <w:rFonts w:hint="eastAsia" w:ascii="宋体" w:hAnsi="宋体"/>
          <w:position w:val="2"/>
          <w:sz w:val="24"/>
        </w:rPr>
        <w:t>（馈线）</w:t>
      </w:r>
      <w:r>
        <w:rPr>
          <w:rFonts w:ascii="宋体" w:hAnsi="宋体"/>
          <w:position w:val="2"/>
          <w:sz w:val="24"/>
        </w:rPr>
        <w:t>柜</w:t>
      </w:r>
      <w:r>
        <w:rPr>
          <w:rFonts w:hint="eastAsia" w:ascii="宋体" w:hAnsi="宋体"/>
          <w:position w:val="2"/>
          <w:sz w:val="24"/>
        </w:rPr>
        <w:t>由</w:t>
      </w:r>
      <w:r>
        <w:rPr>
          <w:rFonts w:ascii="宋体" w:hAnsi="宋体"/>
          <w:position w:val="2"/>
          <w:sz w:val="24"/>
        </w:rPr>
        <w:t>一期主变供电</w:t>
      </w:r>
      <w:r>
        <w:rPr>
          <w:rFonts w:hint="eastAsia" w:ascii="宋体" w:hAnsi="宋体"/>
          <w:position w:val="2"/>
          <w:sz w:val="24"/>
        </w:rPr>
        <w:t>，和</w:t>
      </w:r>
      <w:r>
        <w:rPr>
          <w:rFonts w:ascii="宋体" w:hAnsi="宋体"/>
          <w:position w:val="2"/>
          <w:sz w:val="24"/>
        </w:rPr>
        <w:t>一期已有</w:t>
      </w:r>
      <w:r>
        <w:rPr>
          <w:rFonts w:hint="eastAsia" w:ascii="宋体" w:hAnsi="宋体"/>
          <w:position w:val="2"/>
          <w:sz w:val="24"/>
        </w:rPr>
        <w:t>的10KV开关柜</w:t>
      </w:r>
      <w:r>
        <w:rPr>
          <w:rFonts w:ascii="宋体" w:hAnsi="宋体"/>
          <w:position w:val="2"/>
          <w:sz w:val="24"/>
        </w:rPr>
        <w:t>连接（</w:t>
      </w:r>
      <w:r>
        <w:rPr>
          <w:rFonts w:hint="eastAsia" w:ascii="宋体" w:hAnsi="宋体"/>
          <w:position w:val="2"/>
          <w:sz w:val="24"/>
        </w:rPr>
        <w:t>详见</w:t>
      </w:r>
      <w:r>
        <w:rPr>
          <w:rFonts w:ascii="宋体" w:hAnsi="宋体"/>
          <w:position w:val="2"/>
          <w:sz w:val="24"/>
        </w:rPr>
        <w:t>电气平面布置图）</w:t>
      </w:r>
      <w:r>
        <w:rPr>
          <w:rFonts w:hint="eastAsia" w:ascii="宋体" w:hAnsi="宋体"/>
          <w:position w:val="2"/>
          <w:sz w:val="24"/>
        </w:rPr>
        <w:t>。</w:t>
      </w:r>
      <w:r>
        <w:rPr>
          <w:rFonts w:hint="eastAsia" w:hAnsi="宋体"/>
        </w:rPr>
        <w:t>具体详见招标文件</w:t>
      </w:r>
    </w:p>
    <w:p w14:paraId="4BE93D13">
      <w:pPr>
        <w:spacing w:line="360" w:lineRule="auto"/>
        <w:rPr>
          <w:rFonts w:hint="eastAsia" w:hAnsi="宋体"/>
          <w:b/>
          <w:bCs/>
        </w:rPr>
      </w:pPr>
      <w:r>
        <w:rPr>
          <w:rFonts w:hint="eastAsia" w:hAnsi="宋体"/>
          <w:b/>
          <w:bCs/>
        </w:rPr>
        <w:t>2、货物需求一览表：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2551"/>
        <w:gridCol w:w="851"/>
        <w:gridCol w:w="850"/>
        <w:gridCol w:w="1701"/>
      </w:tblGrid>
      <w:tr w14:paraId="62BA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9" w:type="dxa"/>
            <w:noWrap w:val="0"/>
            <w:vAlign w:val="top"/>
          </w:tcPr>
          <w:p w14:paraId="1520A407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noWrap w:val="0"/>
            <w:vAlign w:val="top"/>
          </w:tcPr>
          <w:p w14:paraId="102D554A">
            <w:pPr>
              <w:spacing w:line="480" w:lineRule="exact"/>
              <w:ind w:left="36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2551" w:type="dxa"/>
            <w:noWrap w:val="0"/>
            <w:vAlign w:val="top"/>
          </w:tcPr>
          <w:p w14:paraId="71E05F6D">
            <w:pPr>
              <w:spacing w:line="480" w:lineRule="exact"/>
              <w:ind w:firstLine="720" w:firstLineChars="3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noWrap w:val="0"/>
            <w:vAlign w:val="top"/>
          </w:tcPr>
          <w:p w14:paraId="0BBA106A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数量</w:t>
            </w:r>
          </w:p>
        </w:tc>
        <w:tc>
          <w:tcPr>
            <w:tcW w:w="850" w:type="dxa"/>
            <w:noWrap w:val="0"/>
            <w:vAlign w:val="top"/>
          </w:tcPr>
          <w:p w14:paraId="7DC4EAD6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701" w:type="dxa"/>
            <w:noWrap w:val="0"/>
            <w:vAlign w:val="top"/>
          </w:tcPr>
          <w:p w14:paraId="6408FDB8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</w:tr>
      <w:tr w14:paraId="4616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9" w:type="dxa"/>
            <w:noWrap w:val="0"/>
            <w:vAlign w:val="top"/>
          </w:tcPr>
          <w:p w14:paraId="3F02245A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2410" w:type="dxa"/>
            <w:noWrap w:val="0"/>
            <w:vAlign w:val="top"/>
          </w:tcPr>
          <w:p w14:paraId="69B9EC52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10KV主变开关柜</w:t>
            </w:r>
          </w:p>
        </w:tc>
        <w:tc>
          <w:tcPr>
            <w:tcW w:w="2551" w:type="dxa"/>
            <w:noWrap w:val="0"/>
            <w:vAlign w:val="top"/>
          </w:tcPr>
          <w:p w14:paraId="4C9236EE">
            <w:pPr>
              <w:spacing w:line="480" w:lineRule="exact"/>
              <w:ind w:firstLine="720" w:firstLineChars="3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KYN28A-12</w:t>
            </w:r>
          </w:p>
        </w:tc>
        <w:tc>
          <w:tcPr>
            <w:tcW w:w="851" w:type="dxa"/>
            <w:noWrap w:val="0"/>
            <w:vAlign w:val="top"/>
          </w:tcPr>
          <w:p w14:paraId="73E0FA7D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noWrap w:val="0"/>
            <w:vAlign w:val="top"/>
          </w:tcPr>
          <w:p w14:paraId="2E27758F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1701" w:type="dxa"/>
            <w:noWrap w:val="0"/>
            <w:vAlign w:val="top"/>
          </w:tcPr>
          <w:p w14:paraId="422865FD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307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19C3D0AA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noWrap w:val="0"/>
            <w:vAlign w:val="top"/>
          </w:tcPr>
          <w:p w14:paraId="76FE1BAD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 xml:space="preserve">10KV馈线开关柜      </w:t>
            </w:r>
          </w:p>
        </w:tc>
        <w:tc>
          <w:tcPr>
            <w:tcW w:w="2551" w:type="dxa"/>
            <w:noWrap w:val="0"/>
            <w:vAlign w:val="top"/>
          </w:tcPr>
          <w:p w14:paraId="5318134F">
            <w:pPr>
              <w:spacing w:line="480" w:lineRule="exact"/>
              <w:ind w:firstLine="720" w:firstLineChars="3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KYN28A-12</w:t>
            </w:r>
          </w:p>
        </w:tc>
        <w:tc>
          <w:tcPr>
            <w:tcW w:w="851" w:type="dxa"/>
            <w:noWrap w:val="0"/>
            <w:vAlign w:val="top"/>
          </w:tcPr>
          <w:p w14:paraId="5D9F2D31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noWrap w:val="0"/>
            <w:vAlign w:val="top"/>
          </w:tcPr>
          <w:p w14:paraId="1BC2D107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1701" w:type="dxa"/>
            <w:noWrap w:val="0"/>
            <w:vAlign w:val="top"/>
          </w:tcPr>
          <w:p w14:paraId="4A031498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BF3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5D8BBFDA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noWrap w:val="0"/>
            <w:vAlign w:val="top"/>
          </w:tcPr>
          <w:p w14:paraId="69173DE4">
            <w:pPr>
              <w:spacing w:line="480" w:lineRule="exact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10KV电容器柜</w:t>
            </w:r>
          </w:p>
        </w:tc>
        <w:tc>
          <w:tcPr>
            <w:tcW w:w="2551" w:type="dxa"/>
            <w:noWrap w:val="0"/>
            <w:vAlign w:val="top"/>
          </w:tcPr>
          <w:p w14:paraId="1D95FD88">
            <w:pPr>
              <w:spacing w:line="480" w:lineRule="exact"/>
              <w:ind w:firstLine="720" w:firstLineChars="30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KYN28A-12</w:t>
            </w:r>
          </w:p>
        </w:tc>
        <w:tc>
          <w:tcPr>
            <w:tcW w:w="851" w:type="dxa"/>
            <w:noWrap w:val="0"/>
            <w:vAlign w:val="top"/>
          </w:tcPr>
          <w:p w14:paraId="6C36740C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 w14:paraId="7C660D51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1701" w:type="dxa"/>
            <w:noWrap w:val="0"/>
            <w:vAlign w:val="top"/>
          </w:tcPr>
          <w:p w14:paraId="19DD5BB0">
            <w:pPr>
              <w:spacing w:line="480" w:lineRule="exact"/>
              <w:ind w:left="36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E12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0C9E0F31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noWrap w:val="0"/>
            <w:vAlign w:val="top"/>
          </w:tcPr>
          <w:p w14:paraId="31A95A1A">
            <w:pPr>
              <w:spacing w:line="480" w:lineRule="exact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10KV接地变开关柜</w:t>
            </w:r>
          </w:p>
        </w:tc>
        <w:tc>
          <w:tcPr>
            <w:tcW w:w="2551" w:type="dxa"/>
            <w:noWrap w:val="0"/>
            <w:vAlign w:val="top"/>
          </w:tcPr>
          <w:p w14:paraId="6D988F3B">
            <w:pPr>
              <w:spacing w:line="480" w:lineRule="exact"/>
              <w:ind w:firstLine="600" w:firstLineChars="25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 xml:space="preserve"> KYN28A-12</w:t>
            </w:r>
          </w:p>
        </w:tc>
        <w:tc>
          <w:tcPr>
            <w:tcW w:w="851" w:type="dxa"/>
            <w:noWrap w:val="0"/>
            <w:vAlign w:val="top"/>
          </w:tcPr>
          <w:p w14:paraId="5C0FF1F8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 w14:paraId="136CC818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1701" w:type="dxa"/>
            <w:noWrap w:val="0"/>
            <w:vAlign w:val="top"/>
          </w:tcPr>
          <w:p w14:paraId="1FC95573">
            <w:pPr>
              <w:spacing w:line="480" w:lineRule="exact"/>
              <w:ind w:left="36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C51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3544D227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noWrap w:val="0"/>
            <w:vAlign w:val="top"/>
          </w:tcPr>
          <w:p w14:paraId="73A0BC17">
            <w:pPr>
              <w:spacing w:line="480" w:lineRule="exact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过电压保护及母线设备柜（含消弧消谐功能）</w:t>
            </w:r>
          </w:p>
        </w:tc>
        <w:tc>
          <w:tcPr>
            <w:tcW w:w="2551" w:type="dxa"/>
            <w:noWrap w:val="0"/>
            <w:vAlign w:val="top"/>
          </w:tcPr>
          <w:p w14:paraId="0A3DC161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 xml:space="preserve">    KYN28A-12</w:t>
            </w:r>
          </w:p>
        </w:tc>
        <w:tc>
          <w:tcPr>
            <w:tcW w:w="851" w:type="dxa"/>
            <w:noWrap w:val="0"/>
            <w:vAlign w:val="top"/>
          </w:tcPr>
          <w:p w14:paraId="5827C28B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 w14:paraId="689D67EA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1701" w:type="dxa"/>
            <w:noWrap w:val="0"/>
            <w:vAlign w:val="top"/>
          </w:tcPr>
          <w:p w14:paraId="54A6D139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带消弧消谐功能</w:t>
            </w:r>
          </w:p>
        </w:tc>
      </w:tr>
      <w:tr w14:paraId="0755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4DEFF11F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noWrap w:val="0"/>
            <w:vAlign w:val="top"/>
          </w:tcPr>
          <w:p w14:paraId="31A66BA3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10kV封闭母线桥</w:t>
            </w:r>
          </w:p>
        </w:tc>
        <w:tc>
          <w:tcPr>
            <w:tcW w:w="2551" w:type="dxa"/>
            <w:noWrap w:val="0"/>
            <w:vAlign w:val="top"/>
          </w:tcPr>
          <w:p w14:paraId="62C30BE5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TMY-100×10（三相共箱）</w:t>
            </w:r>
          </w:p>
        </w:tc>
        <w:tc>
          <w:tcPr>
            <w:tcW w:w="851" w:type="dxa"/>
            <w:noWrap w:val="0"/>
            <w:vAlign w:val="top"/>
          </w:tcPr>
          <w:p w14:paraId="36D3DB62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足量</w:t>
            </w:r>
          </w:p>
        </w:tc>
        <w:tc>
          <w:tcPr>
            <w:tcW w:w="850" w:type="dxa"/>
            <w:noWrap w:val="0"/>
            <w:vAlign w:val="top"/>
          </w:tcPr>
          <w:p w14:paraId="0A530435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米</w:t>
            </w:r>
          </w:p>
        </w:tc>
        <w:tc>
          <w:tcPr>
            <w:tcW w:w="1701" w:type="dxa"/>
            <w:noWrap w:val="0"/>
            <w:vAlign w:val="top"/>
          </w:tcPr>
          <w:p w14:paraId="4BE62186">
            <w:pPr>
              <w:spacing w:line="48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理论测量15米，满足安装要求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</w:p>
        </w:tc>
      </w:tr>
      <w:tr w14:paraId="6E5A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24B1D1CD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noWrap w:val="0"/>
            <w:vAlign w:val="top"/>
          </w:tcPr>
          <w:p w14:paraId="1D8AE717">
            <w:pPr>
              <w:spacing w:line="480" w:lineRule="exact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和一期隔离柜并柜</w:t>
            </w:r>
            <w:bookmarkEnd w:id="0"/>
          </w:p>
        </w:tc>
        <w:tc>
          <w:tcPr>
            <w:tcW w:w="2551" w:type="dxa"/>
            <w:noWrap w:val="0"/>
            <w:vAlign w:val="top"/>
          </w:tcPr>
          <w:p w14:paraId="1B284894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B6C472A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 w14:paraId="5A69F1A1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</w:t>
            </w:r>
          </w:p>
        </w:tc>
        <w:tc>
          <w:tcPr>
            <w:tcW w:w="1701" w:type="dxa"/>
            <w:noWrap w:val="0"/>
            <w:vAlign w:val="top"/>
          </w:tcPr>
          <w:p w14:paraId="60D8AAC6">
            <w:pPr>
              <w:spacing w:line="480" w:lineRule="exact"/>
              <w:jc w:val="left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并柜所用铜排报价，满足现场安装需要</w:t>
            </w:r>
          </w:p>
        </w:tc>
      </w:tr>
      <w:tr w14:paraId="6ECC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6EB3220E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noWrap w:val="0"/>
            <w:vAlign w:val="top"/>
          </w:tcPr>
          <w:p w14:paraId="30811231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和一期</w:t>
            </w: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  <w:lang w:val="en-US" w:eastAsia="zh-CN"/>
              </w:rPr>
              <w:t>出线</w:t>
            </w: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柜并柜</w:t>
            </w:r>
          </w:p>
        </w:tc>
        <w:tc>
          <w:tcPr>
            <w:tcW w:w="2551" w:type="dxa"/>
            <w:noWrap w:val="0"/>
            <w:vAlign w:val="top"/>
          </w:tcPr>
          <w:p w14:paraId="08E81EFC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AA36F2B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 w14:paraId="3FDBA333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</w:t>
            </w:r>
          </w:p>
        </w:tc>
        <w:tc>
          <w:tcPr>
            <w:tcW w:w="1701" w:type="dxa"/>
            <w:noWrap w:val="0"/>
            <w:vAlign w:val="top"/>
          </w:tcPr>
          <w:p w14:paraId="5BD71B94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并柜所用铜排报价，满足现场安装需要</w:t>
            </w:r>
          </w:p>
        </w:tc>
      </w:tr>
      <w:tr w14:paraId="7ECE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0AF4338C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noWrap w:val="0"/>
            <w:vAlign w:val="top"/>
          </w:tcPr>
          <w:p w14:paraId="22614429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开关小车</w:t>
            </w:r>
          </w:p>
        </w:tc>
        <w:tc>
          <w:tcPr>
            <w:tcW w:w="2551" w:type="dxa"/>
            <w:noWrap w:val="0"/>
            <w:vAlign w:val="top"/>
          </w:tcPr>
          <w:p w14:paraId="17ECA436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备用、 检修、验电、接地</w:t>
            </w:r>
          </w:p>
        </w:tc>
        <w:tc>
          <w:tcPr>
            <w:tcW w:w="851" w:type="dxa"/>
            <w:noWrap w:val="0"/>
            <w:vAlign w:val="top"/>
          </w:tcPr>
          <w:p w14:paraId="366B4F95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6</w:t>
            </w:r>
          </w:p>
        </w:tc>
        <w:tc>
          <w:tcPr>
            <w:tcW w:w="850" w:type="dxa"/>
            <w:noWrap w:val="0"/>
            <w:vAlign w:val="top"/>
          </w:tcPr>
          <w:p w14:paraId="03B9511C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1701" w:type="dxa"/>
            <w:noWrap w:val="0"/>
            <w:vAlign w:val="top"/>
          </w:tcPr>
          <w:p w14:paraId="7FAD4750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25D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7968DA79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noWrap w:val="0"/>
            <w:vAlign w:val="top"/>
          </w:tcPr>
          <w:p w14:paraId="6028D629">
            <w:pPr>
              <w:spacing w:line="480" w:lineRule="exact"/>
              <w:ind w:firstLine="120" w:firstLineChars="50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智能电表（含联合接线盒）</w:t>
            </w:r>
          </w:p>
        </w:tc>
        <w:tc>
          <w:tcPr>
            <w:tcW w:w="2551" w:type="dxa"/>
            <w:noWrap w:val="0"/>
            <w:vAlign w:val="top"/>
          </w:tcPr>
          <w:p w14:paraId="313ABFE3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三相三线制，有功0.5S级，无功2.0级，电流、电压为模拟量输入</w:t>
            </w:r>
          </w:p>
        </w:tc>
        <w:tc>
          <w:tcPr>
            <w:tcW w:w="851" w:type="dxa"/>
            <w:noWrap w:val="0"/>
            <w:vAlign w:val="top"/>
          </w:tcPr>
          <w:p w14:paraId="22EF0703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noWrap w:val="0"/>
            <w:vAlign w:val="top"/>
          </w:tcPr>
          <w:p w14:paraId="748A1D03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只</w:t>
            </w:r>
          </w:p>
        </w:tc>
        <w:tc>
          <w:tcPr>
            <w:tcW w:w="1701" w:type="dxa"/>
            <w:noWrap w:val="0"/>
            <w:vAlign w:val="top"/>
          </w:tcPr>
          <w:p w14:paraId="7EB24BE3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双方向，带双RS485接口</w:t>
            </w:r>
          </w:p>
        </w:tc>
      </w:tr>
      <w:tr w14:paraId="0B0B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noWrap w:val="0"/>
            <w:vAlign w:val="top"/>
          </w:tcPr>
          <w:p w14:paraId="3A1D433E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  <w:noWrap w:val="0"/>
            <w:vAlign w:val="top"/>
          </w:tcPr>
          <w:p w14:paraId="76CC0688">
            <w:pPr>
              <w:spacing w:line="480" w:lineRule="exact"/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110k变电站二期保护整定计算工程</w:t>
            </w:r>
          </w:p>
        </w:tc>
        <w:tc>
          <w:tcPr>
            <w:tcW w:w="2551" w:type="dxa"/>
            <w:noWrap w:val="0"/>
            <w:vAlign w:val="top"/>
          </w:tcPr>
          <w:p w14:paraId="5EE50ADF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B1AC4AF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 w14:paraId="7349309D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</w:t>
            </w:r>
          </w:p>
        </w:tc>
        <w:tc>
          <w:tcPr>
            <w:tcW w:w="1701" w:type="dxa"/>
            <w:noWrap w:val="0"/>
            <w:vAlign w:val="top"/>
          </w:tcPr>
          <w:p w14:paraId="1E7F47AA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出具整定计算书和定值单，需要通过供电公司审核</w:t>
            </w:r>
          </w:p>
        </w:tc>
      </w:tr>
    </w:tbl>
    <w:p w14:paraId="0E40F289">
      <w:pPr>
        <w:spacing w:line="360" w:lineRule="auto"/>
        <w:jc w:val="left"/>
        <w:rPr>
          <w:rFonts w:hint="eastAsia" w:ascii="Times New Roman"/>
          <w:szCs w:val="24"/>
        </w:rPr>
      </w:pPr>
    </w:p>
    <w:p w14:paraId="6F8C1702">
      <w:pPr>
        <w:spacing w:line="360" w:lineRule="auto"/>
        <w:jc w:val="left"/>
        <w:rPr>
          <w:rFonts w:ascii="Times New Roman"/>
          <w:szCs w:val="24"/>
        </w:rPr>
      </w:pPr>
      <w:r>
        <w:rPr>
          <w:rFonts w:hint="eastAsia" w:ascii="Times New Roman"/>
          <w:szCs w:val="24"/>
        </w:rPr>
        <w:t>3</w:t>
      </w:r>
      <w:r>
        <w:rPr>
          <w:rFonts w:ascii="Times New Roman"/>
          <w:szCs w:val="24"/>
        </w:rPr>
        <w:t>、招标方式：公开招标。</w:t>
      </w:r>
    </w:p>
    <w:p w14:paraId="5FCAD1E6">
      <w:pPr>
        <w:spacing w:line="360" w:lineRule="auto"/>
        <w:jc w:val="left"/>
        <w:rPr>
          <w:rFonts w:ascii="Times New Roman"/>
          <w:b/>
          <w:bCs/>
          <w:szCs w:val="24"/>
        </w:rPr>
      </w:pPr>
      <w:r>
        <w:rPr>
          <w:rFonts w:ascii="Times New Roman"/>
          <w:b/>
          <w:bCs/>
          <w:szCs w:val="24"/>
        </w:rPr>
        <w:t>三、投标人资格要求：</w:t>
      </w:r>
    </w:p>
    <w:p w14:paraId="276DAE62">
      <w:pPr>
        <w:spacing w:line="360" w:lineRule="auto"/>
        <w:rPr>
          <w:rFonts w:ascii="Times New Roman"/>
          <w:szCs w:val="24"/>
          <w:highlight w:val="none"/>
        </w:rPr>
      </w:pPr>
      <w:r>
        <w:rPr>
          <w:rFonts w:ascii="Times New Roman"/>
          <w:szCs w:val="24"/>
          <w:highlight w:val="none"/>
        </w:rPr>
        <w:t>1、</w:t>
      </w:r>
      <w:r>
        <w:rPr>
          <w:rFonts w:hint="eastAsia" w:ascii="Times New Roman"/>
          <w:kern w:val="2"/>
          <w:szCs w:val="24"/>
          <w:highlight w:val="none"/>
        </w:rPr>
        <w:t>投标人须在中国境内注册且具有独立法人资格的制造商，</w:t>
      </w:r>
      <w:r>
        <w:rPr>
          <w:rFonts w:hint="eastAsia"/>
          <w:highlight w:val="none"/>
        </w:rPr>
        <w:t>具有合格有效的营业执照</w:t>
      </w:r>
      <w:r>
        <w:rPr>
          <w:rFonts w:ascii="Times New Roman"/>
          <w:szCs w:val="24"/>
          <w:highlight w:val="none"/>
        </w:rPr>
        <w:t>；</w:t>
      </w:r>
    </w:p>
    <w:p w14:paraId="1D1E5DCB">
      <w:pPr>
        <w:snapToGrid w:val="0"/>
        <w:spacing w:line="360" w:lineRule="auto"/>
        <w:jc w:val="left"/>
        <w:rPr>
          <w:rFonts w:hint="eastAsia"/>
        </w:rPr>
      </w:pPr>
      <w:r>
        <w:rPr>
          <w:kern w:val="2"/>
          <w:szCs w:val="24"/>
          <w:highlight w:val="none"/>
        </w:rPr>
        <w:t>2、</w:t>
      </w:r>
      <w:r>
        <w:rPr>
          <w:rFonts w:hint="eastAsia"/>
          <w:kern w:val="2"/>
          <w:szCs w:val="24"/>
          <w:highlight w:val="none"/>
          <w:lang w:eastAsia="zh-CN"/>
        </w:rPr>
        <w:t>投标人2022年9月1日至今（以合同签订时间为准）具有至少1个110KV及以上变电所项目</w:t>
      </w:r>
      <w:r>
        <w:rPr>
          <w:rFonts w:hint="eastAsia"/>
          <w:kern w:val="2"/>
          <w:szCs w:val="24"/>
          <w:highlight w:val="none"/>
          <w:lang w:val="en-US" w:eastAsia="zh-CN"/>
        </w:rPr>
        <w:t>10KV开关柜类似</w:t>
      </w:r>
      <w:r>
        <w:rPr>
          <w:rFonts w:hint="eastAsia"/>
          <w:kern w:val="2"/>
          <w:szCs w:val="24"/>
          <w:highlight w:val="none"/>
          <w:lang w:eastAsia="zh-CN"/>
        </w:rPr>
        <w:t>业绩</w:t>
      </w:r>
      <w:r>
        <w:rPr>
          <w:rFonts w:hint="eastAsia" w:ascii="Times New Roman"/>
          <w:kern w:val="2"/>
          <w:szCs w:val="24"/>
          <w:highlight w:val="none"/>
        </w:rPr>
        <w:t>（须提供合同扫描件作为证明</w:t>
      </w:r>
      <w:r>
        <w:rPr>
          <w:rFonts w:hint="eastAsia" w:ascii="Times New Roman"/>
          <w:kern w:val="2"/>
          <w:szCs w:val="24"/>
        </w:rPr>
        <w:t>材料，证明材料中须明确显示出合同甲乙双方盖章、合同签订时间</w:t>
      </w:r>
      <w:r>
        <w:rPr>
          <w:rFonts w:hint="eastAsia" w:ascii="Times New Roman"/>
          <w:kern w:val="2"/>
          <w:szCs w:val="24"/>
          <w:lang w:val="en-US" w:eastAsia="zh-CN"/>
        </w:rPr>
        <w:t>、</w:t>
      </w:r>
      <w:r>
        <w:rPr>
          <w:rFonts w:hint="eastAsia" w:ascii="Times New Roman"/>
          <w:kern w:val="2"/>
          <w:szCs w:val="24"/>
        </w:rPr>
        <w:t>供货内容，若合同中无法体现以上内容，须额外再提供合同附件或技术协议或加盖业主公章的其他证明材料）</w:t>
      </w:r>
      <w:r>
        <w:rPr>
          <w:rFonts w:ascii="Times New Roman"/>
          <w:szCs w:val="24"/>
        </w:rPr>
        <w:t>。</w:t>
      </w:r>
    </w:p>
    <w:p w14:paraId="1C4DFCC2">
      <w:pPr>
        <w:pStyle w:val="4"/>
        <w:spacing w:after="0"/>
        <w:ind w:left="0" w:leftChars="0" w:firstLine="0" w:firstLineChars="0"/>
        <w:jc w:val="left"/>
        <w:rPr>
          <w:rFonts w:hint="eastAsia" w:ascii="Times New Roman" w:hAnsi="Times New Roman"/>
          <w:strike/>
          <w:kern w:val="2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3、</w:t>
      </w:r>
      <w:r>
        <w:rPr>
          <w:rFonts w:hint="eastAsia" w:ascii="Times New Roman" w:hAnsi="Times New Roman"/>
          <w:kern w:val="2"/>
          <w:sz w:val="24"/>
          <w:szCs w:val="24"/>
        </w:rPr>
        <w:t>投标人</w:t>
      </w:r>
      <w:r>
        <w:rPr>
          <w:rFonts w:hint="eastAsia" w:ascii="Times New Roman" w:hAnsi="Times New Roman"/>
          <w:bCs/>
          <w:sz w:val="24"/>
        </w:rPr>
        <w:t>未被人民法院在“中国执行信息公开网”网站（http://zxgk.court.gov.cn/shixin/）列为失信被执行人。</w:t>
      </w:r>
    </w:p>
    <w:p w14:paraId="148A675C">
      <w:pPr>
        <w:pStyle w:val="4"/>
        <w:spacing w:after="0"/>
        <w:ind w:left="0" w:leftChars="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>4、</w:t>
      </w:r>
      <w:r>
        <w:rPr>
          <w:rFonts w:ascii="Times New Roman" w:hAnsi="Times New Roman"/>
          <w:sz w:val="24"/>
        </w:rPr>
        <w:t>单位负责人为同一人或者存在控股、管理关系的不同单位，不得参加同一</w:t>
      </w:r>
      <w:r>
        <w:rPr>
          <w:rFonts w:hint="eastAsia" w:ascii="Times New Roman" w:hAnsi="Times New Roman"/>
          <w:sz w:val="24"/>
        </w:rPr>
        <w:t>标段</w:t>
      </w:r>
      <w:r>
        <w:rPr>
          <w:rFonts w:ascii="Times New Roman" w:hAnsi="Times New Roman"/>
          <w:sz w:val="24"/>
        </w:rPr>
        <w:t>或者未划分</w:t>
      </w:r>
      <w:r>
        <w:rPr>
          <w:rFonts w:hint="eastAsia" w:ascii="Times New Roman" w:hAnsi="Times New Roman"/>
          <w:sz w:val="24"/>
        </w:rPr>
        <w:t>标段</w:t>
      </w:r>
      <w:r>
        <w:rPr>
          <w:rFonts w:ascii="Times New Roman" w:hAnsi="Times New Roman"/>
          <w:sz w:val="24"/>
        </w:rPr>
        <w:t>的同一</w:t>
      </w:r>
      <w:r>
        <w:rPr>
          <w:rFonts w:hint="eastAsia" w:ascii="Times New Roman" w:hAnsi="Times New Roman"/>
          <w:sz w:val="24"/>
        </w:rPr>
        <w:t>招标</w:t>
      </w:r>
      <w:r>
        <w:rPr>
          <w:rFonts w:ascii="Times New Roman" w:hAnsi="Times New Roman"/>
          <w:sz w:val="24"/>
        </w:rPr>
        <w:t>项目。</w:t>
      </w:r>
    </w:p>
    <w:p w14:paraId="7003A470">
      <w:pPr>
        <w:pStyle w:val="4"/>
        <w:spacing w:after="0"/>
        <w:ind w:left="0" w:leftChars="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、本项目不接受联合体投标。</w:t>
      </w:r>
    </w:p>
    <w:p w14:paraId="2667F0C7">
      <w:pPr>
        <w:spacing w:line="360" w:lineRule="auto"/>
        <w:jc w:val="left"/>
        <w:rPr>
          <w:rFonts w:ascii="Times New Roman"/>
          <w:b/>
          <w:bCs/>
          <w:szCs w:val="24"/>
        </w:rPr>
      </w:pPr>
      <w:r>
        <w:rPr>
          <w:rFonts w:ascii="Times New Roman"/>
          <w:b/>
          <w:bCs/>
          <w:szCs w:val="24"/>
        </w:rPr>
        <w:t>四、招标文件的获取：</w:t>
      </w:r>
    </w:p>
    <w:p w14:paraId="2392EF52">
      <w:pPr>
        <w:spacing w:line="360" w:lineRule="auto"/>
        <w:rPr>
          <w:rFonts w:ascii="Times New Roman"/>
          <w:szCs w:val="24"/>
        </w:rPr>
      </w:pPr>
      <w:r>
        <w:rPr>
          <w:rFonts w:ascii="Times New Roman"/>
          <w:szCs w:val="24"/>
        </w:rPr>
        <w:t>1、招标文件的获取时间：202</w:t>
      </w:r>
      <w:r>
        <w:rPr>
          <w:rFonts w:hint="eastAsia" w:ascii="Times New Roman"/>
          <w:szCs w:val="24"/>
        </w:rPr>
        <w:t>5</w:t>
      </w:r>
      <w:r>
        <w:rPr>
          <w:rFonts w:ascii="Times New Roman"/>
          <w:szCs w:val="24"/>
        </w:rPr>
        <w:t>年</w:t>
      </w:r>
      <w:r>
        <w:rPr>
          <w:rFonts w:hint="eastAsia" w:ascii="Times New Roman"/>
          <w:szCs w:val="24"/>
          <w:lang w:val="en-US" w:eastAsia="zh-CN"/>
        </w:rPr>
        <w:t>10</w:t>
      </w:r>
      <w:r>
        <w:rPr>
          <w:rFonts w:ascii="Times New Roman"/>
          <w:szCs w:val="24"/>
        </w:rPr>
        <w:t>月</w:t>
      </w:r>
      <w:r>
        <w:rPr>
          <w:rFonts w:hint="eastAsia" w:ascii="Times New Roman"/>
          <w:szCs w:val="24"/>
          <w:lang w:val="en-US" w:eastAsia="zh-CN"/>
        </w:rPr>
        <w:t>21</w:t>
      </w:r>
      <w:r>
        <w:rPr>
          <w:rFonts w:ascii="Times New Roman"/>
          <w:szCs w:val="24"/>
        </w:rPr>
        <w:t>日起至202</w:t>
      </w:r>
      <w:r>
        <w:rPr>
          <w:rFonts w:hint="eastAsia" w:ascii="Times New Roman"/>
          <w:szCs w:val="24"/>
        </w:rPr>
        <w:t>5</w:t>
      </w:r>
      <w:r>
        <w:rPr>
          <w:rFonts w:ascii="Times New Roman"/>
          <w:szCs w:val="24"/>
        </w:rPr>
        <w:t>年</w:t>
      </w:r>
      <w:r>
        <w:rPr>
          <w:rFonts w:hint="eastAsia" w:ascii="Times New Roman"/>
          <w:szCs w:val="24"/>
          <w:lang w:val="en-US" w:eastAsia="zh-CN"/>
        </w:rPr>
        <w:t>10</w:t>
      </w:r>
      <w:r>
        <w:rPr>
          <w:rFonts w:ascii="Times New Roman"/>
          <w:szCs w:val="24"/>
        </w:rPr>
        <w:t>月</w:t>
      </w:r>
      <w:r>
        <w:rPr>
          <w:rFonts w:hint="eastAsia" w:ascii="Times New Roman"/>
          <w:szCs w:val="24"/>
          <w:lang w:val="en-US" w:eastAsia="zh-CN"/>
        </w:rPr>
        <w:t>28</w:t>
      </w:r>
      <w:r>
        <w:rPr>
          <w:rFonts w:ascii="Times New Roman"/>
          <w:szCs w:val="24"/>
        </w:rPr>
        <w:t>日17：00（北京时间）；</w:t>
      </w:r>
    </w:p>
    <w:p w14:paraId="0C54E069">
      <w:pPr>
        <w:spacing w:line="360" w:lineRule="auto"/>
        <w:rPr>
          <w:rFonts w:ascii="Times New Roman"/>
          <w:b/>
          <w:szCs w:val="24"/>
        </w:rPr>
      </w:pPr>
      <w:r>
        <w:rPr>
          <w:rFonts w:ascii="Times New Roman"/>
          <w:szCs w:val="24"/>
        </w:rPr>
        <w:t>2、获取方式：</w:t>
      </w:r>
      <w:r>
        <w:rPr>
          <w:rFonts w:ascii="Times New Roman"/>
          <w:b/>
          <w:szCs w:val="24"/>
        </w:rPr>
        <w:t>网上获取：凡有意参加本项目投标人，需在</w:t>
      </w:r>
      <w:r>
        <w:rPr>
          <w:rFonts w:hint="eastAsia" w:ascii="Times New Roman"/>
          <w:b/>
          <w:szCs w:val="24"/>
        </w:rPr>
        <w:t>安天e采</w:t>
      </w:r>
      <w:r>
        <w:rPr>
          <w:rFonts w:ascii="Times New Roman"/>
          <w:b/>
          <w:szCs w:val="24"/>
        </w:rPr>
        <w:t>电子交易系统（https://www.xinecai.com/）进行企业免费注册，具体操作参见《</w:t>
      </w:r>
      <w:r>
        <w:rPr>
          <w:rFonts w:hint="eastAsia" w:ascii="Times New Roman"/>
          <w:b/>
          <w:szCs w:val="24"/>
        </w:rPr>
        <w:t>安天e采</w:t>
      </w:r>
      <w:r>
        <w:rPr>
          <w:rFonts w:ascii="Times New Roman"/>
          <w:b/>
          <w:szCs w:val="24"/>
        </w:rPr>
        <w:t>—企业注册通知公告》。</w:t>
      </w:r>
    </w:p>
    <w:p w14:paraId="1F5047FB">
      <w:pPr>
        <w:spacing w:line="360" w:lineRule="auto"/>
        <w:ind w:firstLine="482" w:firstLineChars="200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>完成企业注册并通过审核后（审核期一般为三个工作日），可以通过互联网登录“</w:t>
      </w:r>
      <w:r>
        <w:rPr>
          <w:rFonts w:hint="eastAsia" w:ascii="Times New Roman"/>
          <w:b/>
          <w:szCs w:val="24"/>
        </w:rPr>
        <w:t>安天e采</w:t>
      </w:r>
      <w:r>
        <w:rPr>
          <w:rFonts w:ascii="Times New Roman"/>
          <w:b/>
          <w:szCs w:val="24"/>
        </w:rPr>
        <w:t>电子交易系统”，明确参加项目及标段，在公告有效期内在线缴纳招标文件费用后</w:t>
      </w:r>
      <w:r>
        <w:rPr>
          <w:rFonts w:hint="eastAsia" w:ascii="Times New Roman"/>
          <w:b/>
          <w:szCs w:val="24"/>
        </w:rPr>
        <w:t>（文件售价:400元/包次，文件售后不退）</w:t>
      </w:r>
      <w:r>
        <w:rPr>
          <w:rFonts w:ascii="Times New Roman"/>
          <w:b/>
          <w:szCs w:val="24"/>
        </w:rPr>
        <w:t>，下载文件及相关附件（含澄清、答疑及补充通知等文件，招标人/代理机构不再另行通知，投标人应及时关注、查阅</w:t>
      </w:r>
      <w:r>
        <w:rPr>
          <w:rFonts w:hint="eastAsia" w:ascii="Times New Roman"/>
          <w:b/>
          <w:szCs w:val="24"/>
        </w:rPr>
        <w:t>安天e采</w:t>
      </w:r>
      <w:r>
        <w:rPr>
          <w:rFonts w:ascii="Times New Roman"/>
          <w:b/>
          <w:szCs w:val="24"/>
        </w:rPr>
        <w:t>电子交易系统发布的上述相关内容，否则造成的后果自负）；联合体投标的，由联合体牵头人进行文件下载操作。</w:t>
      </w:r>
    </w:p>
    <w:p w14:paraId="7A83EC74">
      <w:pPr>
        <w:spacing w:line="360" w:lineRule="auto"/>
        <w:ind w:firstLine="482" w:firstLineChars="200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>用户注册成功后如需要变更初始注册信息的，应及时在</w:t>
      </w:r>
      <w:r>
        <w:rPr>
          <w:rFonts w:hint="eastAsia" w:ascii="Times New Roman"/>
          <w:b/>
          <w:szCs w:val="24"/>
        </w:rPr>
        <w:t>安天e采</w:t>
      </w:r>
      <w:r>
        <w:rPr>
          <w:rFonts w:ascii="Times New Roman"/>
          <w:b/>
          <w:szCs w:val="24"/>
        </w:rPr>
        <w:t>申请变更（</w:t>
      </w:r>
      <w:r>
        <w:rPr>
          <w:rFonts w:hint="eastAsia" w:ascii="Times New Roman"/>
          <w:b/>
          <w:szCs w:val="24"/>
        </w:rPr>
        <w:t>安天e采</w:t>
      </w:r>
      <w:r>
        <w:rPr>
          <w:rFonts w:ascii="Times New Roman"/>
          <w:b/>
          <w:szCs w:val="24"/>
        </w:rPr>
        <w:t>服务热线：400-050-9988），如因未及时变更导致不良后果，投标人责任自负。</w:t>
      </w:r>
    </w:p>
    <w:p w14:paraId="11B46521">
      <w:pPr>
        <w:spacing w:line="360" w:lineRule="auto"/>
        <w:rPr>
          <w:rFonts w:ascii="Times New Roman"/>
          <w:szCs w:val="24"/>
        </w:rPr>
      </w:pPr>
      <w:r>
        <w:rPr>
          <w:rFonts w:ascii="Times New Roman"/>
          <w:b/>
          <w:szCs w:val="24"/>
        </w:rPr>
        <w:t>五、投标文件递交截止时间暨开标时间：</w:t>
      </w:r>
      <w:r>
        <w:rPr>
          <w:rFonts w:ascii="Times New Roman"/>
          <w:szCs w:val="24"/>
        </w:rPr>
        <w:t>202</w:t>
      </w:r>
      <w:r>
        <w:rPr>
          <w:rFonts w:hint="eastAsia" w:ascii="Times New Roman"/>
          <w:szCs w:val="24"/>
        </w:rPr>
        <w:t>5</w:t>
      </w:r>
      <w:r>
        <w:rPr>
          <w:rFonts w:ascii="Times New Roman"/>
          <w:szCs w:val="24"/>
        </w:rPr>
        <w:t>年</w:t>
      </w:r>
      <w:r>
        <w:rPr>
          <w:rFonts w:hint="eastAsia" w:ascii="Times New Roman"/>
          <w:szCs w:val="24"/>
          <w:lang w:val="en-US" w:eastAsia="zh-CN"/>
        </w:rPr>
        <w:t>11</w:t>
      </w:r>
      <w:r>
        <w:rPr>
          <w:rFonts w:ascii="Times New Roman"/>
          <w:szCs w:val="24"/>
        </w:rPr>
        <w:t>月</w:t>
      </w:r>
      <w:r>
        <w:rPr>
          <w:rFonts w:hint="eastAsia" w:ascii="Times New Roman"/>
          <w:szCs w:val="24"/>
          <w:lang w:val="en-US" w:eastAsia="zh-CN"/>
        </w:rPr>
        <w:t>12</w:t>
      </w:r>
      <w:r>
        <w:rPr>
          <w:rFonts w:ascii="Times New Roman"/>
          <w:szCs w:val="24"/>
        </w:rPr>
        <w:t>日</w:t>
      </w:r>
      <w:r>
        <w:rPr>
          <w:rFonts w:hint="eastAsia" w:ascii="Times New Roman"/>
          <w:szCs w:val="24"/>
          <w:lang w:val="en-US" w:eastAsia="zh-CN"/>
        </w:rPr>
        <w:t>上</w:t>
      </w:r>
      <w:r>
        <w:rPr>
          <w:rFonts w:ascii="Times New Roman"/>
          <w:szCs w:val="24"/>
        </w:rPr>
        <w:t>午</w:t>
      </w:r>
      <w:r>
        <w:rPr>
          <w:rFonts w:hint="eastAsia" w:ascii="Times New Roman"/>
          <w:szCs w:val="24"/>
          <w:lang w:val="en-US" w:eastAsia="zh-CN"/>
        </w:rPr>
        <w:t>09</w:t>
      </w:r>
      <w:r>
        <w:rPr>
          <w:rFonts w:ascii="Times New Roman"/>
          <w:szCs w:val="24"/>
        </w:rPr>
        <w:t>:</w:t>
      </w:r>
      <w:r>
        <w:rPr>
          <w:rFonts w:hint="eastAsia" w:ascii="Times New Roman"/>
          <w:szCs w:val="24"/>
        </w:rPr>
        <w:t>3</w:t>
      </w:r>
      <w:r>
        <w:rPr>
          <w:rFonts w:ascii="Times New Roman"/>
          <w:szCs w:val="24"/>
        </w:rPr>
        <w:t>0(北京时间)。</w:t>
      </w:r>
    </w:p>
    <w:p w14:paraId="2C6A510A">
      <w:pPr>
        <w:adjustRightInd w:val="0"/>
        <w:spacing w:line="360" w:lineRule="auto"/>
        <w:rPr>
          <w:rFonts w:ascii="Times New Roman"/>
          <w:bCs/>
          <w:szCs w:val="24"/>
        </w:rPr>
      </w:pPr>
      <w:r>
        <w:rPr>
          <w:rFonts w:ascii="Times New Roman"/>
          <w:b/>
          <w:szCs w:val="24"/>
        </w:rPr>
        <w:t>六、招标公告发布的网址：</w:t>
      </w:r>
      <w:r>
        <w:rPr>
          <w:rFonts w:ascii="Times New Roman"/>
          <w:szCs w:val="24"/>
        </w:rPr>
        <w:t>安徽省招标投标信息网、中国招标投标公共服务平台和</w:t>
      </w:r>
      <w:r>
        <w:rPr>
          <w:rFonts w:hint="eastAsia" w:ascii="Times New Roman"/>
          <w:szCs w:val="24"/>
        </w:rPr>
        <w:t>安天e采</w:t>
      </w:r>
      <w:r>
        <w:rPr>
          <w:rFonts w:ascii="Times New Roman"/>
          <w:szCs w:val="24"/>
        </w:rPr>
        <w:t>招标采购电子交易系统（https://www.xinecai.com）。</w:t>
      </w:r>
    </w:p>
    <w:p w14:paraId="538CB26B">
      <w:pPr>
        <w:adjustRightInd w:val="0"/>
        <w:spacing w:line="360" w:lineRule="auto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>七、联系方式</w:t>
      </w:r>
    </w:p>
    <w:p w14:paraId="2DD9A57D">
      <w:pPr>
        <w:adjustRightInd w:val="0"/>
        <w:spacing w:line="360" w:lineRule="auto"/>
        <w:rPr>
          <w:rFonts w:hint="eastAsia" w:ascii="Times New Roman"/>
          <w:bCs/>
          <w:szCs w:val="24"/>
        </w:rPr>
      </w:pPr>
      <w:r>
        <w:rPr>
          <w:rFonts w:ascii="Times New Roman"/>
          <w:bCs/>
          <w:szCs w:val="24"/>
        </w:rPr>
        <w:t>招标人：</w:t>
      </w:r>
      <w:r>
        <w:rPr>
          <w:rFonts w:hint="eastAsia" w:ascii="Times New Roman"/>
          <w:bCs/>
          <w:szCs w:val="24"/>
        </w:rPr>
        <w:t>安徽合力（六安）铸造有限公司</w:t>
      </w:r>
    </w:p>
    <w:p w14:paraId="7377029E">
      <w:pPr>
        <w:wordWrap w:val="0"/>
        <w:adjustRightInd w:val="0"/>
        <w:spacing w:line="360" w:lineRule="auto"/>
        <w:rPr>
          <w:rFonts w:ascii="Times New Roman"/>
        </w:rPr>
      </w:pPr>
      <w:r>
        <w:rPr>
          <w:rFonts w:hint="eastAsia" w:ascii="Times New Roman"/>
        </w:rPr>
        <w:t>联系人：</w:t>
      </w:r>
      <w:r>
        <w:rPr>
          <w:rFonts w:hint="eastAsia" w:ascii="Times New Roman"/>
          <w:lang w:val="en-US" w:eastAsia="zh-CN"/>
        </w:rPr>
        <w:t>余</w:t>
      </w:r>
      <w:r>
        <w:rPr>
          <w:rFonts w:hint="eastAsia" w:ascii="Times New Roman"/>
        </w:rPr>
        <w:t>工</w:t>
      </w:r>
    </w:p>
    <w:p w14:paraId="7D8BE29F">
      <w:pPr>
        <w:wordWrap w:val="0"/>
        <w:adjustRightInd w:val="0"/>
        <w:spacing w:line="360" w:lineRule="auto"/>
        <w:rPr>
          <w:rFonts w:hint="default" w:ascii="Times New Roman" w:eastAsia="宋体"/>
          <w:lang w:val="en-US" w:eastAsia="zh-CN"/>
        </w:rPr>
      </w:pPr>
      <w:r>
        <w:rPr>
          <w:rFonts w:hint="eastAsia" w:ascii="Times New Roman"/>
        </w:rPr>
        <w:t>电话：1</w:t>
      </w:r>
      <w:r>
        <w:rPr>
          <w:rFonts w:hint="eastAsia" w:ascii="Times New Roman"/>
          <w:lang w:val="en-US" w:eastAsia="zh-CN"/>
        </w:rPr>
        <w:t>8096607387</w:t>
      </w:r>
    </w:p>
    <w:p w14:paraId="28C216A0">
      <w:pPr>
        <w:adjustRightInd w:val="0"/>
        <w:spacing w:line="360" w:lineRule="auto"/>
        <w:rPr>
          <w:rFonts w:ascii="Times New Roman"/>
          <w:bCs/>
          <w:szCs w:val="24"/>
        </w:rPr>
      </w:pPr>
      <w:r>
        <w:rPr>
          <w:rFonts w:ascii="Times New Roman"/>
          <w:bCs/>
          <w:szCs w:val="24"/>
        </w:rPr>
        <w:t>招标代理机构：安徽安天利信工程管理股份有限公司</w:t>
      </w:r>
    </w:p>
    <w:p w14:paraId="293608E0">
      <w:pPr>
        <w:adjustRightInd w:val="0"/>
        <w:spacing w:line="360" w:lineRule="auto"/>
        <w:rPr>
          <w:rFonts w:ascii="Times New Roman"/>
          <w:bCs/>
          <w:szCs w:val="24"/>
        </w:rPr>
      </w:pPr>
      <w:r>
        <w:rPr>
          <w:rFonts w:ascii="Times New Roman"/>
          <w:bCs/>
          <w:szCs w:val="24"/>
        </w:rPr>
        <w:t>详细地址：合肥市蜀山区蜀鑫路69号安徽安天利信工程管理股份有限公司总部基地604室</w:t>
      </w:r>
    </w:p>
    <w:p w14:paraId="2E93D1A7">
      <w:pPr>
        <w:adjustRightInd w:val="0"/>
        <w:spacing w:line="360" w:lineRule="auto"/>
        <w:rPr>
          <w:rFonts w:hint="eastAsia" w:ascii="Times New Roman"/>
          <w:bCs/>
          <w:szCs w:val="24"/>
        </w:rPr>
      </w:pPr>
      <w:r>
        <w:rPr>
          <w:rFonts w:ascii="Times New Roman"/>
          <w:bCs/>
          <w:szCs w:val="24"/>
        </w:rPr>
        <w:t>联系人：</w:t>
      </w:r>
      <w:r>
        <w:rPr>
          <w:rFonts w:hint="eastAsia" w:ascii="Times New Roman"/>
          <w:bCs/>
          <w:szCs w:val="24"/>
        </w:rPr>
        <w:t>胡工</w:t>
      </w:r>
    </w:p>
    <w:p w14:paraId="00BAE0BA">
      <w:pPr>
        <w:adjustRightInd w:val="0"/>
        <w:spacing w:line="360" w:lineRule="auto"/>
        <w:rPr>
          <w:rFonts w:ascii="Times New Roman"/>
          <w:bCs/>
          <w:szCs w:val="24"/>
        </w:rPr>
      </w:pPr>
      <w:r>
        <w:rPr>
          <w:rFonts w:ascii="Times New Roman"/>
          <w:bCs/>
          <w:szCs w:val="24"/>
        </w:rPr>
        <w:t>电  话：0551-63736770</w:t>
      </w:r>
    </w:p>
    <w:p w14:paraId="6418F154">
      <w:pPr>
        <w:adjustRightInd w:val="0"/>
        <w:spacing w:line="360" w:lineRule="auto"/>
        <w:rPr>
          <w:rFonts w:ascii="Times New Roman"/>
          <w:szCs w:val="24"/>
        </w:rPr>
      </w:pPr>
      <w:r>
        <w:rPr>
          <w:rFonts w:ascii="Times New Roman"/>
          <w:bCs/>
          <w:szCs w:val="24"/>
        </w:rPr>
        <w:t>电子邮件：</w:t>
      </w:r>
      <w:r>
        <w:rPr>
          <w:rFonts w:ascii="Times New Roman"/>
          <w:szCs w:val="24"/>
        </w:rPr>
        <w:fldChar w:fldCharType="begin"/>
      </w:r>
      <w:r>
        <w:rPr>
          <w:rFonts w:ascii="Times New Roman"/>
          <w:szCs w:val="24"/>
        </w:rPr>
        <w:instrText xml:space="preserve"> HYPERLINK "mailto:lding@ahbidding.com" </w:instrText>
      </w:r>
      <w:r>
        <w:rPr>
          <w:rFonts w:ascii="Times New Roman"/>
          <w:szCs w:val="24"/>
        </w:rPr>
        <w:fldChar w:fldCharType="separate"/>
      </w:r>
      <w:r>
        <w:rPr>
          <w:rStyle w:val="7"/>
          <w:rFonts w:hint="eastAsia" w:ascii="Times New Roman"/>
          <w:color w:val="auto"/>
          <w:szCs w:val="24"/>
        </w:rPr>
        <w:t>ynhu@ahbidding.com</w:t>
      </w:r>
      <w:r>
        <w:rPr>
          <w:rFonts w:ascii="Times New Roman"/>
          <w:szCs w:val="24"/>
        </w:rPr>
        <w:fldChar w:fldCharType="end"/>
      </w:r>
    </w:p>
    <w:p w14:paraId="6C60B1AD">
      <w:pPr>
        <w:spacing w:line="360" w:lineRule="auto"/>
        <w:rPr>
          <w:rFonts w:ascii="Times New Roman"/>
        </w:rPr>
        <w:sectPr>
          <w:pgSz w:w="11907" w:h="16840"/>
          <w:pgMar w:top="1246" w:right="1467" w:bottom="894" w:left="1440" w:header="720" w:footer="567" w:gutter="0"/>
          <w:pgNumType w:start="1"/>
          <w:cols w:space="720" w:num="1"/>
          <w:titlePg/>
        </w:sectPr>
      </w:pPr>
    </w:p>
    <w:p w14:paraId="1061C1DF">
      <w:pPr>
        <w:jc w:val="both"/>
        <w:rPr>
          <w:rFonts w:ascii="Times New Roman"/>
          <w:b/>
          <w:bCs/>
          <w:spacing w:val="40"/>
          <w:w w:val="90"/>
          <w:position w:val="1"/>
          <w:sz w:val="7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character" w:styleId="7">
    <w:name w:val="Hyperlink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2025-10-21T08:47:29Z</dcterms:created>
  <dc:creator>admin</dc:creator>
  <cp:lastModifiedBy>余叶松</cp:lastModifiedBy>
  <dcterms:modified xsi:type="dcterms:W3CDTF">2025-10-21T10:53:47Z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eyJoZGlkIjoiYmU5ZDI0Yzk0OWFmZjg3NzQ0YzVjZTA5NjczNTI2ODMiLCJ1c2VySWQiOiI0OTE2OTI2NjIifQ==</vt:lpwstr>
  </property>
  <property fmtid="{D5CDD505-2E9C-101B-9397-08002B2CF9AE}" pid="4" name="ICV">
    <vt:lpwstr>AE3BAE298E4E481A8FF4746BD326D1AB_12</vt:lpwstr>
  </property>
</Properties>
</file>